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</w:t>
      </w:r>
      <w:r>
        <w:rPr>
          <w:rFonts w:ascii="Times New Roman" w:hAnsi="Times New Roman"/>
          <w:b/>
          <w:sz w:val="28"/>
          <w:szCs w:val="28"/>
        </w:rPr>
        <w:t xml:space="preserve">предоставления и распределения 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из областного бюджета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бюджетам муниципальных районов, муниципальных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и городских округов Белгородской области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на ремонт объектов транспортной инфраструктуры</w:t>
      </w:r>
      <w:r/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со </w:t>
      </w:r>
      <w:hyperlink r:id="rId11" w:tooltip="consultantplus://offline/ref=E390BAB1BC292511967289E96C850517785FB225BE15D2AEBA5C20AD79EB36366B1DDC268423AE650812BFB906FB4A774881601717F36EODP" w:history="1">
        <w:r>
          <w:rPr>
            <w:rFonts w:ascii="Times New Roman" w:hAnsi="Times New Roman" w:eastAsia="Times New Roman"/>
            <w:sz w:val="28"/>
            <w:szCs w:val="28"/>
            <w:lang w:eastAsia="ru-RU"/>
          </w:rPr>
          <w:t xml:space="preserve">статьей 139.1</w:t>
        </w:r>
      </w:hyperlink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целях выполнения мероприятий по ремонту объектов транспортной инфраструктуры, связанных с предотвращением разрушения автомобильных дорог, вызванного неблагоприятными погодными условиями</w:t>
      </w:r>
      <w:r>
        <w:rPr>
          <w:rFonts w:ascii="Times New Roman" w:hAnsi="Times New Roman"/>
          <w:sz w:val="28"/>
          <w:szCs w:val="28"/>
        </w:rPr>
        <w:t xml:space="preserve">, Правительство Белгородской области </w:t>
      </w:r>
      <w:r>
        <w:rPr>
          <w:rFonts w:ascii="Times New Roman" w:hAnsi="Times New Roman"/>
          <w:b/>
          <w:sz w:val="28"/>
          <w:szCs w:val="28"/>
        </w:rPr>
        <w:t xml:space="preserve">п о с т а н о в л я е т</w:t>
      </w:r>
      <w:r>
        <w:rPr>
          <w:rFonts w:ascii="Times New Roman" w:hAnsi="Times New Roman"/>
          <w:sz w:val="28"/>
          <w:szCs w:val="28"/>
        </w:rPr>
        <w:t xml:space="preserve">: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Утвердить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Правила предоставления и распределения иных межбюджетных трансфертов из областного бюджета бюджетам муниципальных районов, муниципальных и городских округов Белгородской области на ремонт объектов транспортной инфраструктуры (прилагается).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Министерству автомобильных дорог и транспорта Белгородской области (Евтушенко С.В.) обеспечить контроль за целевым использованием средств областного бюджета.</w:t>
      </w:r>
      <w:r/>
    </w:p>
    <w:p>
      <w:pPr>
        <w:pStyle w:val="851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 Контроль за исполнением настоящего постановления возложить </w:t>
      </w:r>
      <w:r>
        <w:rPr>
          <w:bCs/>
          <w:color w:val="000000"/>
          <w:sz w:val="28"/>
          <w:szCs w:val="28"/>
        </w:rPr>
        <w:br/>
      </w:r>
      <w:r>
        <w:rPr>
          <w:sz w:val="28"/>
          <w:szCs w:val="28"/>
        </w:rPr>
        <w:t xml:space="preserve">на заместителя Губернатора Белгородской области Базарова В.В.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</w:t>
      </w:r>
      <w:r>
        <w:rPr>
          <w:bCs/>
          <w:color w:val="000000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</w:t>
      </w:r>
      <w:r/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Губернатор </w:t>
      </w:r>
      <w:r/>
    </w:p>
    <w:p>
      <w:pPr>
        <w:pStyle w:val="85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Белгородской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В.В. Гладков</w:t>
      </w:r>
      <w:r/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6521" w:leader="none"/>
        </w:tabs>
        <w:rPr>
          <w:rStyle w:val="853"/>
          <w:sz w:val="27"/>
          <w:szCs w:val="27"/>
        </w:rPr>
      </w:pPr>
      <w:r>
        <w:rPr>
          <w:sz w:val="27"/>
          <w:szCs w:val="27"/>
        </w:rPr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6521" w:leader="none"/>
        </w:tabs>
        <w:rPr>
          <w:rStyle w:val="853"/>
          <w:sz w:val="27"/>
          <w:szCs w:val="27"/>
        </w:rPr>
      </w:pPr>
      <w:r>
        <w:rPr>
          <w:sz w:val="27"/>
          <w:szCs w:val="27"/>
        </w:rPr>
      </w:r>
      <w:r/>
    </w:p>
    <w:p>
      <w:pPr>
        <w:rPr>
          <w:rStyle w:val="853"/>
          <w:rFonts w:eastAsia="Times New Roman"/>
          <w:sz w:val="27"/>
          <w:szCs w:val="27"/>
          <w:lang w:eastAsia="ru-RU"/>
        </w:rPr>
      </w:pPr>
      <w:r>
        <w:rPr>
          <w:rStyle w:val="853"/>
          <w:sz w:val="27"/>
          <w:szCs w:val="27"/>
        </w:rPr>
        <w:br w:type="page" w:clear="all"/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6521" w:leader="none"/>
        </w:tabs>
        <w:rPr>
          <w:rStyle w:val="853"/>
          <w:sz w:val="27"/>
          <w:szCs w:val="27"/>
        </w:rPr>
      </w:pPr>
      <w:r>
        <w:rPr>
          <w:rStyle w:val="853"/>
          <w:sz w:val="27"/>
          <w:szCs w:val="27"/>
        </w:rPr>
        <w:t xml:space="preserve">Приложение</w:t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6521" w:leader="none"/>
        </w:tabs>
        <w:rPr>
          <w:rStyle w:val="853"/>
          <w:sz w:val="27"/>
          <w:szCs w:val="27"/>
        </w:rPr>
      </w:pPr>
      <w:r>
        <w:rPr>
          <w:sz w:val="27"/>
          <w:szCs w:val="27"/>
        </w:rPr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6521" w:leader="none"/>
        </w:tabs>
        <w:rPr>
          <w:rStyle w:val="853"/>
          <w:sz w:val="27"/>
          <w:szCs w:val="27"/>
        </w:rPr>
      </w:pPr>
      <w:r>
        <w:rPr>
          <w:rStyle w:val="853"/>
          <w:sz w:val="27"/>
          <w:szCs w:val="27"/>
        </w:rPr>
        <w:t xml:space="preserve">УТВЕРЖДЕНЫ </w:t>
      </w:r>
      <w:r/>
    </w:p>
    <w:p>
      <w:pPr>
        <w:pStyle w:val="852"/>
        <w:ind w:left="5280" w:firstLine="0"/>
        <w:jc w:val="center"/>
        <w:spacing w:line="240" w:lineRule="auto"/>
        <w:widowControl/>
        <w:rPr>
          <w:rStyle w:val="853"/>
          <w:sz w:val="27"/>
          <w:szCs w:val="27"/>
        </w:rPr>
      </w:pPr>
      <w:r>
        <w:rPr>
          <w:rStyle w:val="853"/>
          <w:sz w:val="27"/>
          <w:szCs w:val="27"/>
        </w:rPr>
        <w:t xml:space="preserve">постановлением Правительства</w:t>
      </w:r>
      <w:r/>
    </w:p>
    <w:p>
      <w:pPr>
        <w:pStyle w:val="852"/>
        <w:ind w:left="5280" w:firstLine="0"/>
        <w:jc w:val="center"/>
        <w:spacing w:line="240" w:lineRule="auto"/>
        <w:widowControl/>
        <w:rPr>
          <w:rStyle w:val="853"/>
          <w:sz w:val="27"/>
          <w:szCs w:val="27"/>
        </w:rPr>
      </w:pPr>
      <w:r>
        <w:rPr>
          <w:rStyle w:val="853"/>
          <w:sz w:val="27"/>
          <w:szCs w:val="27"/>
        </w:rPr>
        <w:t xml:space="preserve">Белгородской области</w:t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4962" w:leader="none"/>
          <w:tab w:val="left" w:pos="5245" w:leader="none"/>
        </w:tabs>
        <w:rPr>
          <w:rStyle w:val="853"/>
          <w:sz w:val="27"/>
          <w:szCs w:val="27"/>
        </w:rPr>
      </w:pPr>
      <w:r>
        <w:rPr>
          <w:rStyle w:val="853"/>
          <w:sz w:val="27"/>
          <w:szCs w:val="27"/>
        </w:rPr>
        <w:t xml:space="preserve">от «____»____________2024 г.</w:t>
      </w:r>
      <w:r/>
    </w:p>
    <w:p>
      <w:pPr>
        <w:pStyle w:val="852"/>
        <w:ind w:left="5280" w:firstLine="0"/>
        <w:jc w:val="center"/>
        <w:spacing w:line="240" w:lineRule="auto"/>
        <w:widowControl/>
        <w:tabs>
          <w:tab w:val="left" w:pos="4962" w:leader="none"/>
          <w:tab w:val="left" w:pos="5245" w:leader="none"/>
          <w:tab w:val="left" w:pos="6379" w:leader="none"/>
          <w:tab w:val="left" w:pos="6521" w:leader="none"/>
          <w:tab w:val="left" w:pos="7655" w:leader="none"/>
          <w:tab w:val="left" w:pos="8080" w:leader="none"/>
          <w:tab w:val="left" w:pos="8222" w:leader="none"/>
        </w:tabs>
        <w:rPr>
          <w:rStyle w:val="853"/>
          <w:sz w:val="28"/>
          <w:szCs w:val="28"/>
        </w:rPr>
      </w:pPr>
      <w:r>
        <w:rPr>
          <w:rStyle w:val="853"/>
          <w:sz w:val="27"/>
          <w:szCs w:val="27"/>
        </w:rPr>
        <w:t xml:space="preserve">№__________</w:t>
      </w:r>
      <w:r/>
    </w:p>
    <w:p>
      <w:pPr>
        <w:pStyle w:val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/>
    </w:p>
    <w:p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предоставления и распределения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иных межбюджетных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трансфертов из областного бюджета бюджетам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муниципальных районов, муниципальных и городских округов Белгородской области на ремонт объектов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транспортной инфраструктуры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Правила предоставления и распределения иных межбюджетных трансфертов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 областного бюджета бюджетам муниципальных районов,  муниципальных и городских округов Белгородской области на ремонт объектов транспортной инфраструктуры </w:t>
      </w:r>
      <w:r>
        <w:rPr>
          <w:rFonts w:ascii="Times New Roman" w:hAnsi="Times New Roman" w:cs="Times New Roman"/>
          <w:sz w:val="28"/>
          <w:szCs w:val="28"/>
        </w:rPr>
        <w:t xml:space="preserve">(далее соответственно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Правила, </w:t>
      </w: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трансферты, муниципальные о</w:t>
      </w:r>
      <w:r>
        <w:rPr>
          <w:rFonts w:ascii="Times New Roman" w:hAnsi="Times New Roman" w:cs="Times New Roman"/>
          <w:sz w:val="28"/>
          <w:szCs w:val="28"/>
        </w:rPr>
        <w:t xml:space="preserve">бразования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) разработаны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со статьей 139.1 Бюджетного кодекса Российской Федерации, в целях выполнения мероприятий по ремонту объектов транспортной инфраструктуры, связанных с предотвращением разрушения автомобильных дорог, вызванного неблагоприятными погодными условиями.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Под объект</w:t>
      </w:r>
      <w:r>
        <w:rPr>
          <w:rFonts w:ascii="Times New Roman" w:hAnsi="Times New Roman" w:cs="Times New Roman"/>
          <w:sz w:val="28"/>
          <w:szCs w:val="28"/>
        </w:rPr>
        <w:t xml:space="preserve">ами транспортной инфраструктуры подразумеваются объекты, включающие в себя земельные участки в границах полосы отвода автомобильной дороги, расположенные на них или под ними конструктивные элементы (дорожное полотно, дорожное покрытие и подобные элементы) </w:t>
      </w:r>
      <w:r>
        <w:rPr>
          <w:rFonts w:ascii="Times New Roman" w:hAnsi="Times New Roman" w:cs="Times New Roman"/>
          <w:sz w:val="28"/>
          <w:szCs w:val="28"/>
        </w:rPr>
        <w:br/>
        <w:t xml:space="preserve">и дорожные </w:t>
      </w:r>
      <w:hyperlink r:id="rId12" w:tooltip="https://login.consultant.ru/link/?req=doc&amp;base=LAW&amp;n=351585&amp;dst=68" w:history="1">
        <w:r>
          <w:rPr>
            <w:rFonts w:ascii="Times New Roman" w:hAnsi="Times New Roman" w:cs="Times New Roman"/>
            <w:sz w:val="28"/>
            <w:szCs w:val="28"/>
          </w:rPr>
          <w:t xml:space="preserve">сооружения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являющиеся ее технологической частью, защитные дорожные сооружения, искусственные дорожные сооружения, производственные объекты, элементы обустройства автомобильных дорог, </w:t>
      </w:r>
      <w:r>
        <w:rPr>
          <w:rFonts w:ascii="Times New Roman" w:hAnsi="Times New Roman" w:cs="Times New Roman"/>
          <w:sz w:val="28"/>
          <w:szCs w:val="28"/>
        </w:rPr>
        <w:br/>
        <w:t xml:space="preserve">в целях выполнения мероприятий по предотвращению разрушения автомобильных дорог.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Главным распорядителем бюджетных средств является министерство автомобильных дорог и транспорта Белгородской области (далее – Министерство).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 предоставляются в пределах лимитов бюджетных обязательств, доведенных в установленном порядке </w:t>
      </w:r>
      <w:r>
        <w:rPr>
          <w:rFonts w:ascii="Times New Roman" w:hAnsi="Times New Roman" w:cs="Times New Roman"/>
          <w:sz w:val="28"/>
          <w:szCs w:val="28"/>
        </w:rPr>
        <w:br/>
        <w:t xml:space="preserve">до Министерства как получателя средств областного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на предоставление межбюджетных трансфертов на цели, указанные в пункте 1 Правил. </w:t>
      </w:r>
      <w:r>
        <w:rPr>
          <w:rFonts w:ascii="Times New Roman" w:hAnsi="Times New Roman" w:cs="Times New Roman"/>
          <w:sz w:val="28"/>
          <w:szCs w:val="28"/>
        </w:rPr>
        <w:tab/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Распределение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образованиям Белгородской области утверждается правовым актом Правительства Белгородской области.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Условием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является заключение между Министерством и уполномоченными органами муниципальных образований Белгородской области соглашений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о предоставлении межбюджетных трансфертов (далее – соглашение)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соответствии с типовой формой, утвержденной министерством финансов </w:t>
      </w:r>
      <w:r>
        <w:rPr>
          <w:rFonts w:ascii="Times New Roman" w:hAnsi="Times New Roman" w:cs="Times New Roman"/>
          <w:sz w:val="28"/>
          <w:szCs w:val="28"/>
        </w:rPr>
        <w:br/>
        <w:t xml:space="preserve">и бюджетной политики Белгородской области.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Уровень софинансирования расходных обязательств муниципальных образований Белгородской области из областного бюджета устанавливается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размере 100 процентов.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Критериями отбора муниципального образования Белгородской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области для предоставления межбюджетных трансфертов являются: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потребность муниципального образования Белгородской области </w:t>
      </w:r>
      <w:r>
        <w:rPr>
          <w:rFonts w:ascii="Times New Roman" w:hAnsi="Times New Roman" w:cs="Times New Roman"/>
          <w:sz w:val="28"/>
          <w:szCs w:val="28"/>
        </w:rPr>
        <w:br/>
        <w:t xml:space="preserve">в проведении мероприятий, направленных на</w:t>
      </w:r>
      <w:r>
        <w:rPr>
          <w:rFonts w:ascii="Times New Roman" w:hAnsi="Times New Roman" w:cs="Times New Roman"/>
          <w:sz w:val="28"/>
          <w:szCs w:val="28"/>
        </w:rPr>
        <w:t xml:space="preserve"> ремонт объектов транспортной инфраструктуры, включающих в себя земельные участки в границах полосы отвода автомобильной дороги, расположенные на них или под ними конструктивные элементы (дорожное полотно, дорожное покрытие и подобные элементы) и дорожные </w:t>
      </w:r>
      <w:hyperlink r:id="rId13" w:tooltip="https://login.consultant.ru/link/?req=doc&amp;base=LAW&amp;n=351585&amp;dst=68" w:history="1">
        <w:r>
          <w:rPr>
            <w:rFonts w:ascii="Times New Roman" w:hAnsi="Times New Roman" w:cs="Times New Roman"/>
            <w:sz w:val="28"/>
            <w:szCs w:val="28"/>
          </w:rPr>
          <w:t xml:space="preserve">сооружения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являющиеся ее технологической частью, защитные дорожные сооружения, искусственные дорожные сооружения, производственные объекты, элементы обустройства автомобильных дорог;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разработанной и утвержденной в установленном порядке проектной документации в случае, предусмотренном законодательством.</w:t>
      </w:r>
      <w:r/>
    </w:p>
    <w:p>
      <w:pPr>
        <w:pStyle w:val="854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  <w:outlineLvl w:val="2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9. Минимальный размер межбюджетных трансфертов, предоставляемых бюджету муниципального образования Белгородской области, определяется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по формуле в соответствии с методикой распределения иных межбюджетных трансфертов бюджетам муниципальных образований Белгородской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на ремонт объектов транспортной инфраструктуры, представленной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в приложении к Правилам.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Результатом предоставления межбюджетных трансфертов является осуществление мероприятий по ремонту объектов транспортной инфраструктур</w:t>
      </w:r>
      <w:r>
        <w:rPr>
          <w:rFonts w:ascii="Times New Roman" w:hAnsi="Times New Roman" w:cs="Times New Roman"/>
          <w:sz w:val="28"/>
          <w:szCs w:val="28"/>
        </w:rPr>
        <w:t xml:space="preserve">ы. Показатель результативности – </w:t>
      </w:r>
      <w:r>
        <w:rPr>
          <w:rFonts w:ascii="Times New Roman" w:hAnsi="Times New Roman" w:cs="Times New Roman"/>
          <w:sz w:val="28"/>
          <w:szCs w:val="28"/>
        </w:rPr>
        <w:t xml:space="preserve">1 условная единица.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Для получения межбюджетных трансфертов уполномоченный орган муниципального образования Белгородской области не позднее 20-го числа текущего месяца представляет в Министерство следующие документы: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заявку на выделение межбюджетных трансфертов в 2 экземплярах;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копию приказа об утвержденной в установленном порядке проектной документации, имеющей положительное заключение государственной экспертизы, если проведение такой экспертизы предусмотрено законодательством;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копии заключенных муниципальных контрактов с приложениями;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заверенные в установленном порядке копии сводных сметных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расчетов;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акты сдачи (приемки) выполненных работ по формам, утвержденным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службой государственной статистики (форма № КС-2), справку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стоимости выполненных работ (услуг) и затрат (форма № КС-3), подписанные муниципальным заказчиком;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копию положительного заключения государственной экспертизы, если проведение такой экспертизы предусмотрено законодательством.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муниципальным образованием Белгородской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области в полном объеме комплекта документов, указанных в пункте 11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Правил, служит основанием для отказа в предоставлении межбюджетных трансфертов.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Министерство в течение 5 (пяти) рабочих дней со дня получения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от уполномоченного органа муниципального образования Белгородской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области заявок формирует реестр на финансирование за счет средств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областного бюджета и направляет в ОГКУ «Центр бухгалтерского учета».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 Перечисление межбюджетных трансфертов осуществляется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порядке, установленном министерством финансов и бюджетной политики Белгородской области, с лицевого счета Министерства, открытого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в министерстве финансов и бюджетной политики Белгородской области, </w:t>
      </w:r>
      <w:r>
        <w:rPr>
          <w:rFonts w:ascii="Times New Roman" w:hAnsi="Times New Roman" w:cs="Times New Roman"/>
          <w:sz w:val="28"/>
          <w:szCs w:val="28"/>
        </w:rPr>
        <w:br/>
        <w:t xml:space="preserve">на лицевые счета для учета операций по переданным полномочиям получателя бюджетных средств, открытые в Управлении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по Белгородской области.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Уполномоченный орган муниципального образования Белгородской области представляет в Министерство отчет о достижении значений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результатов предоставления межбюджетных трансфертов по форме и в сроки,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которые предусмотрены соглашением.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Оценка эффективности предоставления межбюджетных трансфертов осуществляется Министерством путем сравнения плановых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фактических значений результатов предоставления межбюджетных трансфертов.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Остатки межбюджетных трансфертов, образовавшиеся в результате экономии по итогам осуществления закупок (конкурсных процедур), выполнения работ либо по причине расторжения контракта (договора) </w:t>
      </w:r>
      <w:r>
        <w:rPr>
          <w:rFonts w:ascii="Times New Roman" w:hAnsi="Times New Roman" w:cs="Times New Roman"/>
          <w:sz w:val="28"/>
          <w:szCs w:val="28"/>
        </w:rPr>
        <w:br/>
        <w:t xml:space="preserve">с поставщиком вследствие неисполнения его обязательств по контракту (договору), подлежат возврату в полном объеме на единый счет областного бюджета.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Ответственность за достоверность представляемых в Министерство информации и документов, предусмотренных Правилами, возлагается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на уполномоченный орган муниципального образования Белгородской области.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Ответственность за нецелевое использование предоставленных межбюджетных трансфертов, недостоверность сведений, содержащихся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документах и отчетности, несут муниципальные образования Белгородской области в соответствии с действующим законодательством Российской Федерации и Белгородской области.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Министерство осуществляет проверку соблюдения муниципальным образованием Белгородской области условий и Правил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в том числе в части достижения результата предоставления межбюджетных трансфертов, а также органы государственного финансового контроля осуществляют проверки в соответствии со статьями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268.1 и 269.2 Бюджетного кодекса Российской Федерации.</w:t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Style w:val="861"/>
        <w:tblW w:w="9639" w:type="dxa"/>
        <w:tblLayout w:type="fixed"/>
        <w:tblLook w:val="04A0" w:firstRow="1" w:lastRow="0" w:firstColumn="1" w:lastColumn="0" w:noHBand="0" w:noVBand="1"/>
      </w:tblPr>
      <w:tblGrid>
        <w:gridCol w:w="5635"/>
        <w:gridCol w:w="4004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5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заместитель министра</w:t>
            </w:r>
            <w:r/>
          </w:p>
          <w:p>
            <w:pPr>
              <w:pStyle w:val="8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автомобильных дорог и транспорта </w:t>
            </w:r>
            <w:r/>
          </w:p>
          <w:p>
            <w:pPr>
              <w:pStyle w:val="8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4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/>
          </w:p>
          <w:p>
            <w:pPr>
              <w:pStyle w:val="85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/>
          </w:p>
          <w:p>
            <w:pPr>
              <w:pStyle w:val="850"/>
              <w:ind w:right="-108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А.А. Р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огов</w:t>
            </w:r>
            <w:r/>
          </w:p>
        </w:tc>
      </w:tr>
    </w:tbl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/>
    </w:p>
    <w:tbl>
      <w:tblPr>
        <w:tblStyle w:val="861"/>
        <w:tblW w:w="9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>
        <w:trPr/>
        <w:tc>
          <w:tcPr>
            <w:tcW w:w="4077" w:type="dxa"/>
            <w:textDirection w:val="lrTb"/>
            <w:noWrap w:val="false"/>
          </w:tcPr>
          <w:p>
            <w:pPr>
              <w:pStyle w:val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8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</w:t>
            </w:r>
            <w:r/>
          </w:p>
          <w:p>
            <w:pPr>
              <w:ind w:left="-249" w:firstLine="1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Правилам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предоставления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 и распределения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иных межбюджетных трансфертов из областного бюджета бюджетам муниципальных районов, муниципальных и городских округов Белгородской области на ремонт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объектов транспортной инфраструктуры</w:t>
            </w:r>
            <w:r/>
          </w:p>
          <w:p>
            <w:pPr>
              <w:pStyle w:val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/>
          </w:p>
        </w:tc>
      </w:tr>
    </w:tbl>
    <w:p>
      <w:pPr>
        <w:pStyle w:val="854"/>
        <w:ind w:right="-1" w:firstLine="709"/>
        <w:jc w:val="center"/>
        <w:rPr>
          <w:rFonts w:ascii="Times New Roman" w:hAnsi="Times New Roman" w:cs="Times New Roman"/>
          <w:b w:val="0"/>
          <w:sz w:val="28"/>
          <w:szCs w:val="28"/>
        </w:rPr>
        <w:outlineLvl w:val="2"/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54"/>
        <w:ind w:right="-1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Методика</w:t>
      </w:r>
      <w:r/>
    </w:p>
    <w:p>
      <w:pPr>
        <w:pStyle w:val="854"/>
        <w:ind w:right="-1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распределения иных межбюджетных трансфертов из областного бюджета бюджетам муниципальных районов, муниципальных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городских округов Белгородской области на ремонт объектов транспортной инфраструктуры</w:t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contextualSpacing/>
        <w:ind w:firstLine="709"/>
        <w:jc w:val="both"/>
        <w:spacing w:before="100" w:before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Методика распределения иных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br/>
        <w:t xml:space="preserve">из областного бюджета бюджетам муниципальных районов, муниципальных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городских округов Белгородской области (далее – соответственно межбюджетные тран</w:t>
      </w:r>
      <w:r>
        <w:rPr>
          <w:rFonts w:ascii="Times New Roman" w:hAnsi="Times New Roman" w:cs="Times New Roman"/>
          <w:sz w:val="28"/>
          <w:szCs w:val="28"/>
        </w:rPr>
        <w:t xml:space="preserve">сферты, муниципальные образования Белгородской области) разработана в целях выполнения мероприятий по ремонту объектов транспортной инфраструктуры, связанных с предотвращением разрушения автомобильных дорог, вызванного неблагоприятными погодными условиями.</w:t>
      </w:r>
      <w:r/>
    </w:p>
    <w:p>
      <w:pPr>
        <w:pStyle w:val="850"/>
        <w:contextualSpacing/>
        <w:ind w:firstLine="709"/>
        <w:jc w:val="both"/>
        <w:spacing w:before="100" w:before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Размер межбюджетных трансфертов, предоставляемых бюджету муниципального образования Белгородской области, определяется по формуле: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фi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C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цр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К,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фi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размер межбюджетных трансфертов, предоставляемых бюджету i-го муниципального образования Белгородской области;</w:t>
      </w:r>
      <w:r/>
    </w:p>
    <w:p>
      <w:pPr>
        <w:pStyle w:val="8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цр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средняя стоимость ремонта по проектно-сметной документации </w:t>
      </w:r>
      <w:r>
        <w:rPr>
          <w:rFonts w:ascii="Times New Roman" w:hAnsi="Times New Roman" w:cs="Times New Roman"/>
          <w:sz w:val="28"/>
          <w:szCs w:val="28"/>
        </w:rPr>
        <w:br/>
        <w:t xml:space="preserve">в муниципальном образовании Белгородской области.</w:t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количество объектов.</w:t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W w:w="9743" w:type="dxa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3"/>
        <w:gridCol w:w="2431"/>
        <w:gridCol w:w="2439"/>
      </w:tblGrid>
      <w:tr>
        <w:trPr>
          <w:jc w:val="center"/>
          <w:trHeight w:val="938"/>
        </w:trPr>
        <w:tc>
          <w:tcPr>
            <w:shd w:val="clear" w:color="auto" w:fill="auto"/>
            <w:tcW w:w="4873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Первый заместитель министра </w:t>
            </w:r>
            <w:r/>
          </w:p>
          <w:p>
            <w:pPr>
              <w:jc w:val="center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автомобильных дорог и транспорта Белгородской области</w:t>
            </w:r>
            <w:r/>
          </w:p>
        </w:tc>
        <w:tc>
          <w:tcPr>
            <w:shd w:val="clear" w:color="auto" w:fill="auto"/>
            <w:tcW w:w="243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W w:w="243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/>
          </w:p>
          <w:p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А.А. Рогов</w:t>
            </w:r>
            <w:r/>
          </w:p>
        </w:tc>
      </w:tr>
    </w:tbl>
    <w:p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/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/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5836221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</w:pPr>
        <w:r>
          <w:fldChar w:fldCharType="begin"/>
        </w:r>
        <w:r>
          <w:instrText xml:space="preserve">PAGE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85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</w:pPr>
    <w:r/>
    <w:r/>
  </w:p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682"/>
    <w:link w:val="674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682"/>
    <w:link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682"/>
    <w:link w:val="695"/>
    <w:uiPriority w:val="10"/>
    <w:rPr>
      <w:sz w:val="48"/>
      <w:szCs w:val="48"/>
    </w:rPr>
  </w:style>
  <w:style w:type="character" w:styleId="36">
    <w:name w:val="Subtitle Char"/>
    <w:basedOn w:val="682"/>
    <w:link w:val="697"/>
    <w:uiPriority w:val="11"/>
    <w:rPr>
      <w:sz w:val="24"/>
      <w:szCs w:val="24"/>
    </w:rPr>
  </w:style>
  <w:style w:type="character" w:styleId="38">
    <w:name w:val="Quote Char"/>
    <w:link w:val="699"/>
    <w:uiPriority w:val="29"/>
    <w:rPr>
      <w:i/>
    </w:rPr>
  </w:style>
  <w:style w:type="character" w:styleId="40">
    <w:name w:val="Intense Quote Char"/>
    <w:link w:val="701"/>
    <w:uiPriority w:val="30"/>
    <w:rPr>
      <w:i/>
    </w:rPr>
  </w:style>
  <w:style w:type="character" w:styleId="175">
    <w:name w:val="Footnote Text Char"/>
    <w:link w:val="833"/>
    <w:uiPriority w:val="99"/>
    <w:rPr>
      <w:sz w:val="18"/>
    </w:rPr>
  </w:style>
  <w:style w:type="character" w:styleId="178">
    <w:name w:val="Endnote Text Char"/>
    <w:link w:val="836"/>
    <w:uiPriority w:val="99"/>
    <w:rPr>
      <w:sz w:val="20"/>
    </w:rPr>
  </w:style>
  <w:style w:type="paragraph" w:styleId="672" w:default="1">
    <w:name w:val="Normal"/>
    <w:qFormat/>
  </w:style>
  <w:style w:type="paragraph" w:styleId="673">
    <w:name w:val="Heading 1"/>
    <w:basedOn w:val="672"/>
    <w:next w:val="672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4">
    <w:name w:val="Heading 2"/>
    <w:basedOn w:val="672"/>
    <w:next w:val="672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5">
    <w:name w:val="Heading 3"/>
    <w:basedOn w:val="672"/>
    <w:next w:val="672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6">
    <w:name w:val="Heading 4"/>
    <w:basedOn w:val="672"/>
    <w:next w:val="672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7">
    <w:name w:val="Heading 5"/>
    <w:basedOn w:val="672"/>
    <w:next w:val="672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72"/>
    <w:next w:val="672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9">
    <w:name w:val="Heading 7"/>
    <w:basedOn w:val="672"/>
    <w:next w:val="672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0">
    <w:name w:val="Heading 8"/>
    <w:basedOn w:val="672"/>
    <w:next w:val="672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1">
    <w:name w:val="Heading 9"/>
    <w:basedOn w:val="672"/>
    <w:next w:val="672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Заголовок 1 Знак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Заголовок 2 Знак"/>
    <w:basedOn w:val="682"/>
    <w:link w:val="674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Заголовок 4 Знак"/>
    <w:basedOn w:val="682"/>
    <w:link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2"/>
    <w:next w:val="672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82"/>
    <w:link w:val="695"/>
    <w:uiPriority w:val="10"/>
    <w:rPr>
      <w:sz w:val="48"/>
      <w:szCs w:val="48"/>
    </w:rPr>
  </w:style>
  <w:style w:type="paragraph" w:styleId="697">
    <w:name w:val="Subtitle"/>
    <w:basedOn w:val="672"/>
    <w:next w:val="672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2"/>
    <w:link w:val="697"/>
    <w:uiPriority w:val="11"/>
    <w:rPr>
      <w:sz w:val="24"/>
      <w:szCs w:val="24"/>
    </w:rPr>
  </w:style>
  <w:style w:type="paragraph" w:styleId="699">
    <w:name w:val="Quote"/>
    <w:basedOn w:val="672"/>
    <w:next w:val="672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2"/>
    <w:next w:val="672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character" w:styleId="703" w:customStyle="1">
    <w:name w:val="Header Char"/>
    <w:basedOn w:val="682"/>
    <w:uiPriority w:val="99"/>
  </w:style>
  <w:style w:type="character" w:styleId="704" w:customStyle="1">
    <w:name w:val="Footer Char"/>
    <w:basedOn w:val="682"/>
    <w:uiPriority w:val="99"/>
  </w:style>
  <w:style w:type="paragraph" w:styleId="705">
    <w:name w:val="Caption"/>
    <w:basedOn w:val="672"/>
    <w:next w:val="67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6" w:customStyle="1">
    <w:name w:val="Caption Char"/>
    <w:uiPriority w:val="99"/>
  </w:style>
  <w:style w:type="table" w:styleId="707" w:customStyle="1">
    <w:name w:val="Table Grid Light"/>
    <w:basedOn w:val="68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Plain Table 1"/>
    <w:basedOn w:val="68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2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 w:customStyle="1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6" w:customStyle="1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7" w:customStyle="1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8" w:customStyle="1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9" w:customStyle="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0" w:customStyle="1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1" w:customStyle="1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0" w:customStyle="1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1" w:customStyle="1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2" w:customStyle="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3" w:customStyle="1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 w:customStyle="1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6" w:customStyle="1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9" w:customStyle="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1" w:customStyle="1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3" w:customStyle="1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4" w:customStyle="1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3" w:customStyle="1">
    <w:name w:val="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4" w:customStyle="1">
    <w:name w:val="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5" w:customStyle="1">
    <w:name w:val="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6" w:customStyle="1">
    <w:name w:val="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7" w:customStyle="1">
    <w:name w:val="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8" w:customStyle="1">
    <w:name w:val="Bordered &amp; 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0" w:customStyle="1">
    <w:name w:val="Bordered &amp; 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1" w:customStyle="1">
    <w:name w:val="Bordered &amp; 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2" w:customStyle="1">
    <w:name w:val="Bordered &amp; 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3" w:customStyle="1">
    <w:name w:val="Bordered &amp; 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4" w:customStyle="1">
    <w:name w:val="Bordered &amp; 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5" w:customStyle="1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7" w:customStyle="1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8" w:customStyle="1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9" w:customStyle="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0" w:customStyle="1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1" w:customStyle="1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563c1" w:themeColor="hyperlink"/>
      <w:u w:val="single"/>
    </w:rPr>
  </w:style>
  <w:style w:type="paragraph" w:styleId="833">
    <w:name w:val="footnote text"/>
    <w:basedOn w:val="672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basedOn w:val="682"/>
    <w:uiPriority w:val="99"/>
    <w:unhideWhenUsed/>
    <w:rPr>
      <w:vertAlign w:val="superscript"/>
    </w:rPr>
  </w:style>
  <w:style w:type="paragraph" w:styleId="836">
    <w:name w:val="endnote text"/>
    <w:basedOn w:val="672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basedOn w:val="682"/>
    <w:uiPriority w:val="99"/>
    <w:semiHidden/>
    <w:unhideWhenUsed/>
    <w:rPr>
      <w:vertAlign w:val="superscript"/>
    </w:rPr>
  </w:style>
  <w:style w:type="paragraph" w:styleId="839">
    <w:name w:val="toc 1"/>
    <w:basedOn w:val="672"/>
    <w:next w:val="672"/>
    <w:uiPriority w:val="39"/>
    <w:unhideWhenUsed/>
    <w:pPr>
      <w:spacing w:after="57"/>
    </w:pPr>
  </w:style>
  <w:style w:type="paragraph" w:styleId="840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41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42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43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44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45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46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47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72"/>
    <w:next w:val="672"/>
    <w:uiPriority w:val="99"/>
    <w:unhideWhenUsed/>
    <w:pPr>
      <w:spacing w:after="0"/>
    </w:pPr>
  </w:style>
  <w:style w:type="paragraph" w:styleId="850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51">
    <w:name w:val="List Paragraph"/>
    <w:basedOn w:val="672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2" w:customStyle="1">
    <w:name w:val="Style2"/>
    <w:basedOn w:val="672"/>
    <w:uiPriority w:val="99"/>
    <w:pPr>
      <w:ind w:firstLine="1133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3" w:customStyle="1">
    <w:name w:val="Font Style13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85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55">
    <w:name w:val="Balloon Text"/>
    <w:basedOn w:val="672"/>
    <w:link w:val="85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6" w:customStyle="1">
    <w:name w:val="Текст выноски Знак"/>
    <w:basedOn w:val="682"/>
    <w:link w:val="855"/>
    <w:uiPriority w:val="99"/>
    <w:semiHidden/>
    <w:rPr>
      <w:rFonts w:ascii="Tahoma" w:hAnsi="Tahoma" w:cs="Tahoma"/>
      <w:sz w:val="16"/>
      <w:szCs w:val="16"/>
    </w:rPr>
  </w:style>
  <w:style w:type="paragraph" w:styleId="857">
    <w:name w:val="Header"/>
    <w:basedOn w:val="672"/>
    <w:link w:val="8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682"/>
    <w:link w:val="857"/>
    <w:uiPriority w:val="99"/>
  </w:style>
  <w:style w:type="paragraph" w:styleId="859">
    <w:name w:val="Footer"/>
    <w:basedOn w:val="672"/>
    <w:link w:val="8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682"/>
    <w:link w:val="859"/>
    <w:uiPriority w:val="99"/>
  </w:style>
  <w:style w:type="table" w:styleId="861">
    <w:name w:val="Table Grid"/>
    <w:basedOn w:val="683"/>
    <w:uiPriority w:val="3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E390BAB1BC292511967289E96C850517785FB225BE15D2AEBA5C20AD79EB36366B1DDC268423AE650812BFB906FB4A774881601717F36EODP" TargetMode="External"/><Relationship Id="rId12" Type="http://schemas.openxmlformats.org/officeDocument/2006/relationships/hyperlink" Target="https://login.consultant.ru/link/?req=doc&amp;base=LAW&amp;n=351585&amp;dst=68" TargetMode="External"/><Relationship Id="rId13" Type="http://schemas.openxmlformats.org/officeDocument/2006/relationships/hyperlink" Target="https://login.consultant.ru/link/?req=doc&amp;base=LAW&amp;n=351585&amp;dst=6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734D3-71AE-4CBF-8701-297295C8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revision>3</cp:revision>
  <dcterms:created xsi:type="dcterms:W3CDTF">2024-07-22T14:03:00Z</dcterms:created>
  <dcterms:modified xsi:type="dcterms:W3CDTF">2024-07-31T14:28:18Z</dcterms:modified>
</cp:coreProperties>
</file>